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0B" w:rsidRPr="00FA5E0B" w:rsidRDefault="00FA5E0B" w:rsidP="00FA5E0B">
      <w:pPr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FA5E0B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                                                                                      </w:t>
      </w:r>
      <w:r w:rsidR="00874AE8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 </w:t>
      </w:r>
      <w:bookmarkStart w:id="0" w:name="_GoBack"/>
      <w:bookmarkEnd w:id="0"/>
      <w:r w:rsidRPr="00FA5E0B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Anexa nr.          </w:t>
      </w:r>
      <w:proofErr w:type="spellStart"/>
      <w:proofErr w:type="gramStart"/>
      <w:r w:rsidRPr="00FA5E0B">
        <w:rPr>
          <w:rFonts w:ascii="Arial" w:eastAsia="Times New Roman" w:hAnsi="Arial" w:cs="Arial"/>
          <w:b/>
          <w:bCs/>
          <w:sz w:val="20"/>
          <w:szCs w:val="20"/>
          <w:lang w:val="fr-FR"/>
        </w:rPr>
        <w:t>din</w:t>
      </w:r>
      <w:proofErr w:type="spellEnd"/>
      <w:proofErr w:type="gramEnd"/>
      <w:r w:rsidRPr="00FA5E0B">
        <w:rPr>
          <w:rFonts w:ascii="Arial" w:eastAsia="Times New Roman" w:hAnsi="Arial" w:cs="Arial"/>
          <w:b/>
          <w:bCs/>
          <w:sz w:val="20"/>
          <w:szCs w:val="20"/>
          <w:lang w:val="fr-FR"/>
        </w:rPr>
        <w:t>____________________</w:t>
      </w:r>
    </w:p>
    <w:p w:rsidR="003540E3" w:rsidRPr="00B20829" w:rsidRDefault="00C120A6" w:rsidP="003540E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la Contractul de furnizare a energiei electrice </w:t>
      </w:r>
    </w:p>
    <w:p w:rsidR="003540E3" w:rsidRPr="00B20829" w:rsidRDefault="00FA5E0B" w:rsidP="003540E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A5E0B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</w:rPr>
        <w:t xml:space="preserve">                                                      </w:t>
      </w:r>
      <w:r w:rsidRPr="00FA5E0B">
        <w:rPr>
          <w:rFonts w:ascii="Arial" w:eastAsia="Times New Roman" w:hAnsi="Arial" w:cs="Arial"/>
          <w:b/>
          <w:bCs/>
          <w:sz w:val="20"/>
          <w:szCs w:val="20"/>
        </w:rPr>
        <w:t xml:space="preserve">                consumatorului casnic / </w:t>
      </w:r>
      <w:proofErr w:type="spellStart"/>
      <w:r w:rsidRPr="00FA5E0B">
        <w:rPr>
          <w:rFonts w:ascii="Arial" w:eastAsia="Times New Roman" w:hAnsi="Arial" w:cs="Arial"/>
          <w:b/>
          <w:bCs/>
          <w:sz w:val="20"/>
          <w:szCs w:val="20"/>
        </w:rPr>
        <w:t>noncasnic</w:t>
      </w:r>
      <w:proofErr w:type="spellEnd"/>
      <w:r w:rsidRPr="00FA5E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540E3" w:rsidRPr="00B20829" w:rsidRDefault="00FA5E0B" w:rsidP="003540E3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A5E0B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</w:rPr>
        <w:t xml:space="preserve">                                                                                        </w:t>
      </w:r>
      <w:r w:rsidRPr="00FA5E0B">
        <w:rPr>
          <w:rFonts w:ascii="Arial" w:eastAsia="Times New Roman" w:hAnsi="Arial" w:cs="Arial"/>
          <w:b/>
          <w:bCs/>
          <w:sz w:val="20"/>
          <w:szCs w:val="20"/>
        </w:rPr>
        <w:t xml:space="preserve"> nr.__________________ din ______________</w:t>
      </w:r>
    </w:p>
    <w:p w:rsidR="003540E3" w:rsidRPr="00B20829" w:rsidRDefault="00FA5E0B" w:rsidP="003540E3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FA5E0B">
        <w:rPr>
          <w:rFonts w:ascii="Arial" w:eastAsia="Times New Roman" w:hAnsi="Arial" w:cs="Arial"/>
          <w:b/>
          <w:bCs/>
          <w:sz w:val="20"/>
          <w:szCs w:val="20"/>
        </w:rPr>
        <w:t xml:space="preserve">                Numărul Locului de Consum (NLC) _________</w:t>
      </w:r>
    </w:p>
    <w:p w:rsidR="003540E3" w:rsidRPr="00B20829" w:rsidRDefault="003540E3" w:rsidP="003540E3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3540E3" w:rsidRPr="00B20829" w:rsidRDefault="003540E3" w:rsidP="003540E3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540E3" w:rsidRPr="00B20829" w:rsidRDefault="00FA5E0B" w:rsidP="003540E3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A5E0B">
        <w:rPr>
          <w:rFonts w:ascii="Arial" w:eastAsia="Times New Roman" w:hAnsi="Arial" w:cs="Arial"/>
          <w:b/>
          <w:bCs/>
          <w:sz w:val="20"/>
          <w:szCs w:val="20"/>
        </w:rPr>
        <w:t>Contorizarea netă a energiei electrice produse din surse regenerabile</w:t>
      </w:r>
    </w:p>
    <w:p w:rsidR="003540E3" w:rsidRPr="00B20829" w:rsidRDefault="003540E3" w:rsidP="003540E3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3540E3" w:rsidRPr="00B20829" w:rsidRDefault="00FA5E0B" w:rsidP="003540E3">
      <w:pPr>
        <w:jc w:val="center"/>
        <w:rPr>
          <w:rFonts w:ascii="Arial" w:eastAsia="Times New Roman" w:hAnsi="Arial" w:cs="Arial"/>
          <w:sz w:val="14"/>
          <w:szCs w:val="14"/>
        </w:rPr>
      </w:pPr>
      <w:r w:rsidRPr="00FA5E0B">
        <w:rPr>
          <w:rFonts w:ascii="Arial" w:eastAsia="Times New Roman" w:hAnsi="Arial" w:cs="Arial"/>
          <w:sz w:val="14"/>
          <w:szCs w:val="14"/>
        </w:rPr>
        <w:t>(numărul locului de consum(NLC),denumirea l</w:t>
      </w:r>
      <w:r w:rsidR="00A66F47">
        <w:rPr>
          <w:rFonts w:ascii="Arial" w:eastAsia="Times New Roman" w:hAnsi="Arial" w:cs="Arial"/>
          <w:sz w:val="14"/>
          <w:szCs w:val="14"/>
        </w:rPr>
        <w:t>o</w:t>
      </w:r>
      <w:r w:rsidRPr="00FA5E0B">
        <w:rPr>
          <w:rFonts w:ascii="Arial" w:eastAsia="Times New Roman" w:hAnsi="Arial" w:cs="Arial"/>
          <w:sz w:val="14"/>
          <w:szCs w:val="14"/>
        </w:rPr>
        <w:t>cului de consum,</w:t>
      </w:r>
      <w:r w:rsidR="00A66F47">
        <w:rPr>
          <w:rFonts w:ascii="Arial" w:eastAsia="Times New Roman" w:hAnsi="Arial" w:cs="Arial"/>
          <w:sz w:val="14"/>
          <w:szCs w:val="14"/>
        </w:rPr>
        <w:t xml:space="preserve"> </w:t>
      </w:r>
      <w:r w:rsidRPr="00FA5E0B">
        <w:rPr>
          <w:rFonts w:ascii="Arial" w:eastAsia="Times New Roman" w:hAnsi="Arial" w:cs="Arial"/>
          <w:sz w:val="14"/>
          <w:szCs w:val="14"/>
        </w:rPr>
        <w:t xml:space="preserve">adresa poștală) </w:t>
      </w:r>
    </w:p>
    <w:p w:rsidR="003540E3" w:rsidRPr="00B20829" w:rsidRDefault="003540E3" w:rsidP="003540E3">
      <w:pPr>
        <w:jc w:val="center"/>
        <w:rPr>
          <w:rFonts w:ascii="Arial" w:eastAsia="Times New Roman" w:hAnsi="Arial" w:cs="Arial"/>
          <w:sz w:val="14"/>
          <w:szCs w:val="14"/>
        </w:rPr>
      </w:pPr>
    </w:p>
    <w:p w:rsidR="003540E3" w:rsidRPr="00B20829" w:rsidRDefault="003540E3" w:rsidP="003540E3">
      <w:pPr>
        <w:jc w:val="center"/>
        <w:rPr>
          <w:rFonts w:ascii="Arial" w:eastAsia="Times New Roman" w:hAnsi="Arial" w:cs="Arial"/>
          <w:sz w:val="14"/>
          <w:szCs w:val="14"/>
        </w:rPr>
      </w:pPr>
    </w:p>
    <w:p w:rsidR="003540E3" w:rsidRPr="00B20829" w:rsidRDefault="00AC723F" w:rsidP="003540E3">
      <w:pPr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0302D" wp14:editId="4FA1ABD6">
                <wp:simplePos x="0" y="0"/>
                <wp:positionH relativeFrom="column">
                  <wp:posOffset>24765</wp:posOffset>
                </wp:positionH>
                <wp:positionV relativeFrom="paragraph">
                  <wp:posOffset>30480</wp:posOffset>
                </wp:positionV>
                <wp:extent cx="5934075" cy="9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99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2.4pt;width:46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"/>
            </w:pict>
          </mc:Fallback>
        </mc:AlternateContent>
      </w:r>
      <w:r w:rsidR="00FA5E0B" w:rsidRPr="00FA5E0B">
        <w:rPr>
          <w:rFonts w:ascii="Arial" w:eastAsia="Times New Roman" w:hAnsi="Arial" w:cs="Arial"/>
          <w:sz w:val="20"/>
          <w:szCs w:val="20"/>
        </w:rPr>
        <w:t xml:space="preserve">                                   </w:t>
      </w:r>
      <w:r w:rsidR="00FA5E0B" w:rsidRPr="00FA5E0B">
        <w:rPr>
          <w:rFonts w:ascii="Arial" w:eastAsia="Times New Roman" w:hAnsi="Arial" w:cs="Arial"/>
          <w:sz w:val="14"/>
          <w:szCs w:val="14"/>
        </w:rPr>
        <w:t xml:space="preserve">(denumirea consumatorului </w:t>
      </w:r>
      <w:r w:rsidR="00A66F47">
        <w:rPr>
          <w:rFonts w:ascii="Arial" w:eastAsia="Times New Roman" w:hAnsi="Arial" w:cs="Arial"/>
          <w:sz w:val="14"/>
          <w:szCs w:val="14"/>
        </w:rPr>
        <w:t>final</w:t>
      </w:r>
      <w:r w:rsidR="00FA5E0B" w:rsidRPr="00FA5E0B">
        <w:rPr>
          <w:rFonts w:ascii="Arial" w:eastAsia="Times New Roman" w:hAnsi="Arial" w:cs="Arial"/>
          <w:sz w:val="14"/>
          <w:szCs w:val="14"/>
        </w:rPr>
        <w:t>,</w:t>
      </w:r>
      <w:r w:rsidR="00A66F47">
        <w:rPr>
          <w:rFonts w:ascii="Arial" w:eastAsia="Times New Roman" w:hAnsi="Arial" w:cs="Arial"/>
          <w:sz w:val="14"/>
          <w:szCs w:val="14"/>
        </w:rPr>
        <w:t xml:space="preserve"> </w:t>
      </w:r>
      <w:r w:rsidR="00FA5E0B" w:rsidRPr="00FA5E0B">
        <w:rPr>
          <w:rFonts w:ascii="Arial" w:eastAsia="Times New Roman" w:hAnsi="Arial" w:cs="Arial"/>
          <w:sz w:val="14"/>
          <w:szCs w:val="14"/>
        </w:rPr>
        <w:t>sediul nr. de identificare IDNO)</w:t>
      </w:r>
    </w:p>
    <w:p w:rsidR="003069F7" w:rsidRPr="00B20829" w:rsidRDefault="003069F7" w:rsidP="003069F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069F7" w:rsidRPr="00B20829" w:rsidRDefault="00C120A6" w:rsidP="003069F7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 </w:t>
      </w:r>
    </w:p>
    <w:p w:rsidR="00E45511" w:rsidRPr="00B20829" w:rsidRDefault="00C120A6" w:rsidP="00E4551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Consumatorul final </w:t>
      </w:r>
      <w:proofErr w:type="spellStart"/>
      <w:r>
        <w:rPr>
          <w:rFonts w:ascii="Arial" w:eastAsia="Times New Roman" w:hAnsi="Arial" w:cs="Arial"/>
          <w:sz w:val="20"/>
          <w:szCs w:val="20"/>
        </w:rPr>
        <w:t>deţine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centrală electrică, care produce energie electrică din surse regenerabile pentru uz propriu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este în drept</w:t>
      </w:r>
      <w:r w:rsidR="00E46506">
        <w:rPr>
          <w:rFonts w:ascii="Arial" w:eastAsia="Times New Roman" w:hAnsi="Arial" w:cs="Arial"/>
          <w:sz w:val="20"/>
          <w:szCs w:val="20"/>
        </w:rPr>
        <w:t xml:space="preserve">, în </w:t>
      </w:r>
      <w:proofErr w:type="spellStart"/>
      <w:r w:rsidR="00531AC3">
        <w:rPr>
          <w:rFonts w:ascii="Arial" w:eastAsia="Times New Roman" w:hAnsi="Arial" w:cs="Arial"/>
          <w:sz w:val="20"/>
          <w:szCs w:val="20"/>
        </w:rPr>
        <w:t>condiţiile</w:t>
      </w:r>
      <w:proofErr w:type="spellEnd"/>
      <w:r w:rsidR="00531AC3">
        <w:rPr>
          <w:rFonts w:ascii="Arial" w:eastAsia="Times New Roman" w:hAnsi="Arial" w:cs="Arial"/>
          <w:sz w:val="20"/>
          <w:szCs w:val="20"/>
        </w:rPr>
        <w:t xml:space="preserve"> prevăzute de </w:t>
      </w:r>
      <w:proofErr w:type="spellStart"/>
      <w:r w:rsidR="00E46506">
        <w:rPr>
          <w:rFonts w:ascii="Arial" w:eastAsia="Times New Roman" w:hAnsi="Arial" w:cs="Arial"/>
          <w:sz w:val="20"/>
          <w:szCs w:val="20"/>
        </w:rPr>
        <w:t>leg</w:t>
      </w:r>
      <w:r w:rsidR="00531AC3">
        <w:rPr>
          <w:rFonts w:ascii="Arial" w:eastAsia="Times New Roman" w:hAnsi="Arial" w:cs="Arial"/>
          <w:sz w:val="20"/>
          <w:szCs w:val="20"/>
        </w:rPr>
        <w:t>is</w:t>
      </w:r>
      <w:r w:rsidR="00E46506">
        <w:rPr>
          <w:rFonts w:ascii="Arial" w:eastAsia="Times New Roman" w:hAnsi="Arial" w:cs="Arial"/>
          <w:sz w:val="20"/>
          <w:szCs w:val="20"/>
        </w:rPr>
        <w:t>laţi</w:t>
      </w:r>
      <w:r w:rsidR="00531AC3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531AC3">
        <w:rPr>
          <w:rFonts w:ascii="Arial" w:eastAsia="Times New Roman" w:hAnsi="Arial" w:cs="Arial"/>
          <w:sz w:val="20"/>
          <w:szCs w:val="20"/>
        </w:rPr>
        <w:t xml:space="preserve"> în vigoare</w:t>
      </w:r>
      <w:r w:rsidR="00E46506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să livreze în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 surplusul de energie electrică produsă. </w:t>
      </w:r>
    </w:p>
    <w:p w:rsidR="00E45511" w:rsidRPr="00B20829" w:rsidRDefault="00C120A6" w:rsidP="001F0B5C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Puterea instalată a centralei electrice ________________kW. (Se va indica puterea aprobată pentru generare conform Actului de delimitare)</w:t>
      </w:r>
    </w:p>
    <w:p w:rsidR="00E45511" w:rsidRPr="00B20829" w:rsidRDefault="00C120A6" w:rsidP="00E4551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Sursa/-ele regenerabilă/e de energie utilizată _____________________ . </w:t>
      </w:r>
    </w:p>
    <w:p w:rsidR="00E45511" w:rsidRPr="00B20829" w:rsidRDefault="00C120A6" w:rsidP="00E4551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Consumatorul final trebuie să îndeplinească următoarele </w:t>
      </w:r>
      <w:proofErr w:type="spellStart"/>
      <w:r>
        <w:rPr>
          <w:rFonts w:ascii="Arial" w:eastAsia="Times New Roman" w:hAnsi="Arial" w:cs="Arial"/>
          <w:sz w:val="20"/>
          <w:szCs w:val="20"/>
        </w:rPr>
        <w:t>condiţii</w:t>
      </w:r>
      <w:proofErr w:type="spellEnd"/>
      <w:r w:rsidR="009E6659">
        <w:rPr>
          <w:rFonts w:ascii="Arial" w:eastAsia="Times New Roman" w:hAnsi="Arial" w:cs="Arial"/>
          <w:sz w:val="20"/>
          <w:szCs w:val="20"/>
        </w:rPr>
        <w:t>,</w:t>
      </w:r>
      <w:r w:rsidR="009E6659" w:rsidRPr="009E6659">
        <w:rPr>
          <w:rFonts w:ascii="Arial" w:eastAsia="Times New Roman" w:hAnsi="Arial" w:cs="Arial"/>
          <w:sz w:val="20"/>
          <w:szCs w:val="20"/>
        </w:rPr>
        <w:t xml:space="preserve"> </w:t>
      </w:r>
      <w:r w:rsidR="009E6659">
        <w:rPr>
          <w:rFonts w:ascii="Arial" w:eastAsia="Times New Roman" w:hAnsi="Arial" w:cs="Arial"/>
          <w:sz w:val="20"/>
          <w:szCs w:val="20"/>
        </w:rPr>
        <w:t>pentru a putea fi aplicată contorizarea netă</w:t>
      </w:r>
      <w:r>
        <w:rPr>
          <w:rFonts w:ascii="Arial" w:eastAsia="Times New Roman" w:hAnsi="Arial" w:cs="Arial"/>
          <w:sz w:val="20"/>
          <w:szCs w:val="20"/>
        </w:rPr>
        <w:t>:  </w:t>
      </w:r>
    </w:p>
    <w:p w:rsidR="00E45511" w:rsidRPr="00B20829" w:rsidRDefault="00C120A6" w:rsidP="00E455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energia electrică trebuie să fie produsă numai din surse regenerabile de energie; </w:t>
      </w:r>
    </w:p>
    <w:p w:rsidR="00FA5CCB" w:rsidRPr="00B20829" w:rsidRDefault="00C120A6" w:rsidP="00FA5CC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centrala electrică este conectată la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funcţionează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în mod paralel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sincron cu aceasta;</w:t>
      </w:r>
    </w:p>
    <w:p w:rsidR="00FA5CCB" w:rsidRPr="00B20829" w:rsidRDefault="00C120A6" w:rsidP="00FA5CC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centrala electrică </w:t>
      </w:r>
      <w:r w:rsidR="009E6659">
        <w:rPr>
          <w:rFonts w:ascii="Arial" w:eastAsia="Times New Roman" w:hAnsi="Arial" w:cs="Arial"/>
          <w:sz w:val="20"/>
          <w:szCs w:val="20"/>
        </w:rPr>
        <w:t xml:space="preserve">trebuie să fie </w:t>
      </w:r>
      <w:r>
        <w:rPr>
          <w:rFonts w:ascii="Arial" w:eastAsia="Times New Roman" w:hAnsi="Arial" w:cs="Arial"/>
          <w:sz w:val="20"/>
          <w:szCs w:val="20"/>
        </w:rPr>
        <w:t xml:space="preserve">echipată cu un mecanism de </w:t>
      </w:r>
      <w:proofErr w:type="spellStart"/>
      <w:r>
        <w:rPr>
          <w:rFonts w:ascii="Arial" w:eastAsia="Times New Roman" w:hAnsi="Arial" w:cs="Arial"/>
          <w:sz w:val="20"/>
          <w:szCs w:val="20"/>
        </w:rPr>
        <w:t>protecţie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care să deconecteze automat centrala electrică de la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să întrerupă livrarea energiei electrice în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în cazul în care este întreruptă livrarea energiei electrice către Consumator;</w:t>
      </w:r>
    </w:p>
    <w:p w:rsidR="00E45511" w:rsidRPr="00B20829" w:rsidRDefault="00C120A6" w:rsidP="00E455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să solicite un nou aviz de racordare la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 de </w:t>
      </w:r>
      <w:proofErr w:type="spellStart"/>
      <w:r>
        <w:rPr>
          <w:rFonts w:ascii="Arial" w:eastAsia="Times New Roman" w:hAnsi="Arial" w:cs="Arial"/>
          <w:sz w:val="20"/>
          <w:szCs w:val="20"/>
        </w:rPr>
        <w:t>distribuţie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în caz de majorare a puterii instalate a centralei electrice, dar nu mai mare </w:t>
      </w:r>
      <w:proofErr w:type="spellStart"/>
      <w:r>
        <w:rPr>
          <w:rFonts w:ascii="Arial" w:eastAsia="Times New Roman" w:hAnsi="Arial" w:cs="Arial"/>
          <w:sz w:val="20"/>
          <w:szCs w:val="20"/>
        </w:rPr>
        <w:t>decît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200 kW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decît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puterea contractată cu </w:t>
      </w:r>
      <w:r w:rsidR="001F0B5C">
        <w:rPr>
          <w:rFonts w:ascii="Arial" w:eastAsia="Times New Roman" w:hAnsi="Arial" w:cs="Arial"/>
          <w:sz w:val="20"/>
          <w:szCs w:val="20"/>
        </w:rPr>
        <w:t>furnizorul de energie electrică;</w:t>
      </w:r>
    </w:p>
    <w:p w:rsidR="00F3279E" w:rsidRPr="00B20829" w:rsidRDefault="009E6659" w:rsidP="00A54A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C120A6">
        <w:rPr>
          <w:rFonts w:ascii="Arial" w:eastAsia="Times New Roman" w:hAnsi="Arial" w:cs="Arial"/>
          <w:sz w:val="20"/>
          <w:szCs w:val="20"/>
        </w:rPr>
        <w:t xml:space="preserve">entrala electrică </w:t>
      </w:r>
      <w:r>
        <w:rPr>
          <w:rFonts w:ascii="Arial" w:eastAsia="Times New Roman" w:hAnsi="Arial" w:cs="Arial"/>
          <w:sz w:val="20"/>
          <w:szCs w:val="20"/>
        </w:rPr>
        <w:t xml:space="preserve">trebuie să fie </w:t>
      </w:r>
      <w:r w:rsidR="00C120A6">
        <w:rPr>
          <w:rFonts w:ascii="Arial" w:eastAsia="Times New Roman" w:hAnsi="Arial" w:cs="Arial"/>
          <w:sz w:val="20"/>
          <w:szCs w:val="20"/>
        </w:rPr>
        <w:t xml:space="preserve">echipată cu un contor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bidirecţional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(</w:t>
      </w:r>
      <w:r w:rsidR="00FA5E0B" w:rsidRPr="00FA5E0B">
        <w:rPr>
          <w:rFonts w:ascii="Arial" w:eastAsia="Times New Roman" w:hAnsi="Arial" w:cs="Arial"/>
          <w:sz w:val="20"/>
          <w:szCs w:val="20"/>
        </w:rPr>
        <w:t xml:space="preserve">specificat în </w:t>
      </w:r>
      <w:r w:rsidR="00AC723F">
        <w:rPr>
          <w:rFonts w:ascii="Arial" w:eastAsia="Times New Roman" w:hAnsi="Arial" w:cs="Arial"/>
          <w:sz w:val="20"/>
          <w:szCs w:val="20"/>
        </w:rPr>
        <w:t xml:space="preserve">Actul de delimitare, ce este parte componentă </w:t>
      </w:r>
      <w:r w:rsidR="00FA5E0B" w:rsidRPr="00FA5E0B">
        <w:rPr>
          <w:rFonts w:ascii="Arial" w:eastAsia="Times New Roman" w:hAnsi="Arial" w:cs="Arial"/>
          <w:sz w:val="20"/>
          <w:szCs w:val="20"/>
        </w:rPr>
        <w:t>a Contractului</w:t>
      </w:r>
      <w:r w:rsidR="00AC723F">
        <w:rPr>
          <w:rFonts w:ascii="Arial" w:eastAsia="Times New Roman" w:hAnsi="Arial" w:cs="Arial"/>
          <w:sz w:val="20"/>
          <w:szCs w:val="20"/>
        </w:rPr>
        <w:t xml:space="preserve"> </w:t>
      </w:r>
      <w:r w:rsidR="00AC723F" w:rsidRPr="00A54A4B">
        <w:rPr>
          <w:rFonts w:ascii="Arial" w:eastAsia="Times New Roman" w:hAnsi="Arial" w:cs="Arial"/>
          <w:sz w:val="20"/>
          <w:szCs w:val="20"/>
        </w:rPr>
        <w:t>de furnizare a energiei electrice</w:t>
      </w:r>
      <w:r w:rsidR="00C120A6">
        <w:rPr>
          <w:rFonts w:ascii="Arial" w:eastAsia="Times New Roman" w:hAnsi="Arial" w:cs="Arial"/>
          <w:sz w:val="20"/>
          <w:szCs w:val="20"/>
        </w:rPr>
        <w:t>), instalat din contul Consumatorului</w:t>
      </w:r>
      <w:r w:rsidR="00FA5E0B" w:rsidRPr="00A54A4B">
        <w:rPr>
          <w:rFonts w:ascii="Arial" w:eastAsia="Times New Roman" w:hAnsi="Arial" w:cs="Arial"/>
          <w:sz w:val="20"/>
          <w:szCs w:val="20"/>
        </w:rPr>
        <w:t xml:space="preserve">, care înregistrează cantitatea de energie electrică consumată din </w:t>
      </w:r>
      <w:proofErr w:type="spellStart"/>
      <w:r w:rsidR="00FA5E0B" w:rsidRPr="00A54A4B"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 w:rsidR="00FA5E0B" w:rsidRPr="00A54A4B">
        <w:rPr>
          <w:rFonts w:ascii="Arial" w:eastAsia="Times New Roman" w:hAnsi="Arial" w:cs="Arial"/>
          <w:sz w:val="20"/>
          <w:szCs w:val="20"/>
        </w:rPr>
        <w:t xml:space="preserve"> electrică </w:t>
      </w:r>
      <w:proofErr w:type="spellStart"/>
      <w:r w:rsidR="00FA5E0B" w:rsidRPr="00A54A4B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FA5E0B" w:rsidRPr="00A54A4B">
        <w:rPr>
          <w:rFonts w:ascii="Arial" w:eastAsia="Times New Roman" w:hAnsi="Arial" w:cs="Arial"/>
          <w:sz w:val="20"/>
          <w:szCs w:val="20"/>
        </w:rPr>
        <w:t xml:space="preserve">, respectiv, cantitatea de energie electrică livrată în </w:t>
      </w:r>
      <w:proofErr w:type="spellStart"/>
      <w:r w:rsidR="00FA5E0B" w:rsidRPr="00A54A4B"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 w:rsidR="00FA5E0B" w:rsidRPr="00A54A4B">
        <w:rPr>
          <w:rFonts w:ascii="Arial" w:eastAsia="Times New Roman" w:hAnsi="Arial" w:cs="Arial"/>
          <w:sz w:val="20"/>
          <w:szCs w:val="20"/>
        </w:rPr>
        <w:t xml:space="preserve"> electrică</w:t>
      </w:r>
      <w:r w:rsidR="00C120A6" w:rsidRPr="00A54A4B">
        <w:rPr>
          <w:rFonts w:ascii="Arial" w:eastAsia="Times New Roman" w:hAnsi="Arial" w:cs="Arial"/>
          <w:sz w:val="20"/>
          <w:szCs w:val="20"/>
        </w:rPr>
        <w:t>, </w:t>
      </w:r>
      <w:r w:rsidR="00C120A6">
        <w:rPr>
          <w:rFonts w:ascii="Arial" w:eastAsia="Times New Roman" w:hAnsi="Arial" w:cs="Arial"/>
          <w:sz w:val="20"/>
          <w:szCs w:val="20"/>
        </w:rPr>
        <w:t>de către Consumator.</w:t>
      </w:r>
    </w:p>
    <w:p w:rsidR="003069F7" w:rsidRPr="00B20829" w:rsidRDefault="00C120A6" w:rsidP="00E4551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Calculul energiei electrice prin aplicarea contorizării nete se efectuează după cum urmează</w:t>
      </w:r>
      <w:r w:rsidR="00531AC3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23900" w:rsidRPr="00B20829" w:rsidRDefault="00C120A6" w:rsidP="00523900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a) în cazul în care, la </w:t>
      </w:r>
      <w:proofErr w:type="spellStart"/>
      <w:r>
        <w:rPr>
          <w:rFonts w:ascii="Arial" w:eastAsia="Times New Roman" w:hAnsi="Arial" w:cs="Arial"/>
          <w:sz w:val="20"/>
          <w:szCs w:val="20"/>
        </w:rPr>
        <w:t>sfîrşitul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lunii, cantitatea de energie electrică consumată de Consumatorul final, </w:t>
      </w:r>
      <w:proofErr w:type="spellStart"/>
      <w:r>
        <w:rPr>
          <w:rFonts w:ascii="Arial" w:eastAsia="Times New Roman" w:hAnsi="Arial" w:cs="Arial"/>
          <w:sz w:val="20"/>
          <w:szCs w:val="20"/>
        </w:rPr>
        <w:t>deţinător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al centralei electrice, </w:t>
      </w:r>
      <w:proofErr w:type="spellStart"/>
      <w:r>
        <w:rPr>
          <w:rFonts w:ascii="Arial" w:eastAsia="Times New Roman" w:hAnsi="Arial" w:cs="Arial"/>
          <w:sz w:val="20"/>
          <w:szCs w:val="20"/>
        </w:rPr>
        <w:t>depăşeşte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cantitatea de energie electrică livrată în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electrică, Consumatorul final în cauză va achita Furnizorului doar </w:t>
      </w:r>
      <w:proofErr w:type="spellStart"/>
      <w:r>
        <w:rPr>
          <w:rFonts w:ascii="Arial" w:eastAsia="Times New Roman" w:hAnsi="Arial" w:cs="Arial"/>
          <w:sz w:val="20"/>
          <w:szCs w:val="20"/>
        </w:rPr>
        <w:t>diferenţa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dintre cantitatea de energie consumată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cea livrată la </w:t>
      </w:r>
      <w:proofErr w:type="spellStart"/>
      <w:r>
        <w:rPr>
          <w:rFonts w:ascii="Arial" w:eastAsia="Times New Roman" w:hAnsi="Arial" w:cs="Arial"/>
          <w:sz w:val="20"/>
          <w:szCs w:val="20"/>
        </w:rPr>
        <w:t>preţul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reglementat la care Furnizorul furnizează energie electrică consumatorilor finali din </w:t>
      </w:r>
      <w:proofErr w:type="spellStart"/>
      <w:r>
        <w:rPr>
          <w:rFonts w:ascii="Arial" w:eastAsia="Times New Roman" w:hAnsi="Arial" w:cs="Arial"/>
          <w:sz w:val="20"/>
          <w:szCs w:val="20"/>
        </w:rPr>
        <w:t>aceeaşi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categorie;</w:t>
      </w:r>
    </w:p>
    <w:p w:rsidR="00EE66F6" w:rsidRDefault="00C120A6" w:rsidP="004F709D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b) în cazul în care, la </w:t>
      </w:r>
      <w:proofErr w:type="spellStart"/>
      <w:r>
        <w:rPr>
          <w:rFonts w:ascii="Arial" w:eastAsia="Times New Roman" w:hAnsi="Arial" w:cs="Arial"/>
          <w:sz w:val="20"/>
          <w:szCs w:val="20"/>
        </w:rPr>
        <w:t>sfîrşitul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lunii,  cantitatea de energie electrică pe care Consumatorul final, </w:t>
      </w:r>
      <w:proofErr w:type="spellStart"/>
      <w:r>
        <w:rPr>
          <w:rFonts w:ascii="Arial" w:eastAsia="Times New Roman" w:hAnsi="Arial" w:cs="Arial"/>
          <w:sz w:val="20"/>
          <w:szCs w:val="20"/>
        </w:rPr>
        <w:t>deţinător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al centralei electrice, a primit-o de la Furnizor este mai mică </w:t>
      </w:r>
      <w:proofErr w:type="spellStart"/>
      <w:r>
        <w:rPr>
          <w:rFonts w:ascii="Arial" w:eastAsia="Times New Roman" w:hAnsi="Arial" w:cs="Arial"/>
          <w:sz w:val="20"/>
          <w:szCs w:val="20"/>
        </w:rPr>
        <w:t>decît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cantitatea de energie electrică livrată în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electrică, Furnizorul de energie electrică va face soldul energiei livrate în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electrică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al celei consumate din </w:t>
      </w:r>
      <w:proofErr w:type="spellStart"/>
      <w:r>
        <w:rPr>
          <w:rFonts w:ascii="Arial" w:eastAsia="Times New Roman" w:hAnsi="Arial" w:cs="Arial"/>
          <w:sz w:val="20"/>
          <w:szCs w:val="20"/>
        </w:rPr>
        <w:t>reţea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iar </w:t>
      </w:r>
      <w:proofErr w:type="spellStart"/>
      <w:r>
        <w:rPr>
          <w:rFonts w:ascii="Arial" w:eastAsia="Times New Roman" w:hAnsi="Arial" w:cs="Arial"/>
          <w:sz w:val="20"/>
          <w:szCs w:val="20"/>
        </w:rPr>
        <w:t>diferenţa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cantitate va fi inclusă în contul Consumatorului final respectiv pentru a fi utilizată în lunile următoare. </w:t>
      </w:r>
    </w:p>
    <w:p w:rsidR="009560A4" w:rsidRPr="00B20829" w:rsidRDefault="00EE66F6" w:rsidP="004F709D">
      <w:pPr>
        <w:spacing w:line="276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>
        <w:rPr>
          <w:rFonts w:ascii="Arial" w:eastAsia="Times New Roman" w:hAnsi="Arial" w:cs="Arial"/>
          <w:sz w:val="20"/>
          <w:szCs w:val="20"/>
        </w:rPr>
        <w:t xml:space="preserve">c) </w:t>
      </w:r>
      <w:r w:rsidR="00C120A6">
        <w:rPr>
          <w:rFonts w:ascii="Arial" w:eastAsia="Times New Roman" w:hAnsi="Arial" w:cs="Arial"/>
          <w:sz w:val="20"/>
          <w:szCs w:val="20"/>
        </w:rPr>
        <w:t xml:space="preserve">Dacă, la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sfîrşitul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anului, Furnizorul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stabileşte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că Consumatorul final,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deţinător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al centralei electrice, a livrat în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electrică o cantitate de energie ce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depăşeşte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cantitatea de energie electrică ce a fost consumată din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reţea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>, Furnizor</w:t>
      </w:r>
      <w:r>
        <w:rPr>
          <w:rFonts w:ascii="Arial" w:eastAsia="Times New Roman" w:hAnsi="Arial" w:cs="Arial"/>
          <w:sz w:val="20"/>
          <w:szCs w:val="20"/>
        </w:rPr>
        <w:t>ul</w:t>
      </w:r>
      <w:r w:rsidR="00C120A6">
        <w:rPr>
          <w:rFonts w:ascii="Arial" w:eastAsia="Times New Roman" w:hAnsi="Arial" w:cs="Arial"/>
          <w:sz w:val="20"/>
          <w:szCs w:val="20"/>
        </w:rPr>
        <w:t xml:space="preserve"> este obligat să determine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să achite Consumatorului final contravaloarea energiei electrice neutilizate la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preţul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mediu de procurare a energiei electrice pe </w:t>
      </w:r>
      <w:proofErr w:type="spellStart"/>
      <w:r w:rsidR="00C120A6">
        <w:rPr>
          <w:rFonts w:ascii="Arial" w:eastAsia="Times New Roman" w:hAnsi="Arial" w:cs="Arial"/>
          <w:sz w:val="20"/>
          <w:szCs w:val="20"/>
        </w:rPr>
        <w:t>piaţă</w:t>
      </w:r>
      <w:proofErr w:type="spellEnd"/>
      <w:r w:rsidR="00C120A6">
        <w:rPr>
          <w:rFonts w:ascii="Arial" w:eastAsia="Times New Roman" w:hAnsi="Arial" w:cs="Arial"/>
          <w:sz w:val="20"/>
          <w:szCs w:val="20"/>
        </w:rPr>
        <w:t xml:space="preserve"> de către furnizorul serviciului universal în anul de gestiune.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A5E0B" w:rsidRPr="00FA5E0B">
        <w:rPr>
          <w:rFonts w:ascii="Arial" w:hAnsi="Arial" w:cs="Arial"/>
          <w:sz w:val="20"/>
          <w:szCs w:val="20"/>
        </w:rPr>
        <w:t xml:space="preserve">La </w:t>
      </w:r>
      <w:r w:rsidR="00A66F47">
        <w:rPr>
          <w:rFonts w:ascii="Arial" w:hAnsi="Arial" w:cs="Arial"/>
          <w:sz w:val="20"/>
          <w:szCs w:val="20"/>
        </w:rPr>
        <w:t>solicitarea</w:t>
      </w:r>
      <w:r w:rsidR="00A66F47" w:rsidRPr="00FA5E0B">
        <w:rPr>
          <w:rFonts w:ascii="Arial" w:hAnsi="Arial" w:cs="Arial"/>
          <w:sz w:val="20"/>
          <w:szCs w:val="20"/>
        </w:rPr>
        <w:t xml:space="preserve"> </w:t>
      </w:r>
      <w:r w:rsidR="00FA5E0B" w:rsidRPr="00FA5E0B">
        <w:rPr>
          <w:rFonts w:ascii="Arial" w:hAnsi="Arial" w:cs="Arial"/>
          <w:sz w:val="20"/>
          <w:szCs w:val="20"/>
        </w:rPr>
        <w:t xml:space="preserve">scrisă a </w:t>
      </w:r>
      <w:r w:rsidR="00A66F47">
        <w:rPr>
          <w:rFonts w:ascii="Arial" w:hAnsi="Arial" w:cs="Arial"/>
          <w:sz w:val="20"/>
          <w:szCs w:val="20"/>
        </w:rPr>
        <w:t xml:space="preserve">Consumatorului final, </w:t>
      </w:r>
      <w:r w:rsidR="00A66F47" w:rsidRPr="00A66F47">
        <w:rPr>
          <w:rFonts w:ascii="Arial" w:hAnsi="Arial" w:cs="Arial"/>
          <w:sz w:val="20"/>
          <w:szCs w:val="20"/>
        </w:rPr>
        <w:t>contravaloarea energiei electrice neutilizate</w:t>
      </w:r>
      <w:r w:rsidR="00A66F47">
        <w:rPr>
          <w:rFonts w:ascii="Arial" w:hAnsi="Arial" w:cs="Arial"/>
          <w:sz w:val="20"/>
          <w:szCs w:val="20"/>
        </w:rPr>
        <w:t xml:space="preserve"> </w:t>
      </w:r>
      <w:r w:rsidR="00FA5E0B" w:rsidRPr="00FA5E0B">
        <w:rPr>
          <w:rFonts w:ascii="Arial" w:hAnsi="Arial" w:cs="Arial"/>
          <w:sz w:val="20"/>
          <w:szCs w:val="20"/>
        </w:rPr>
        <w:t>poate fi transferat</w:t>
      </w:r>
      <w:r w:rsidR="00A66F47">
        <w:rPr>
          <w:rFonts w:ascii="Arial" w:hAnsi="Arial" w:cs="Arial"/>
          <w:sz w:val="20"/>
          <w:szCs w:val="20"/>
        </w:rPr>
        <w:t>ă</w:t>
      </w:r>
      <w:r w:rsidR="00FA5E0B" w:rsidRPr="00FA5E0B">
        <w:rPr>
          <w:rFonts w:ascii="Arial" w:hAnsi="Arial" w:cs="Arial"/>
          <w:sz w:val="20"/>
          <w:szCs w:val="20"/>
        </w:rPr>
        <w:t xml:space="preserve"> </w:t>
      </w:r>
      <w:r w:rsidR="00A66F47">
        <w:rPr>
          <w:rFonts w:ascii="Arial" w:hAnsi="Arial" w:cs="Arial"/>
          <w:sz w:val="20"/>
          <w:szCs w:val="20"/>
        </w:rPr>
        <w:t>ca</w:t>
      </w:r>
      <w:r w:rsidR="00FA5E0B" w:rsidRPr="00FA5E0B">
        <w:rPr>
          <w:rFonts w:ascii="Arial" w:hAnsi="Arial" w:cs="Arial"/>
          <w:sz w:val="20"/>
          <w:szCs w:val="20"/>
        </w:rPr>
        <w:t xml:space="preserve"> avans pe cont</w:t>
      </w:r>
      <w:r w:rsidR="00A66F47">
        <w:rPr>
          <w:rFonts w:ascii="Arial" w:hAnsi="Arial" w:cs="Arial"/>
          <w:sz w:val="20"/>
          <w:szCs w:val="20"/>
        </w:rPr>
        <w:t>ul</w:t>
      </w:r>
      <w:r w:rsidR="00FA5E0B" w:rsidRPr="00FA5E0B">
        <w:rPr>
          <w:rFonts w:ascii="Arial" w:hAnsi="Arial" w:cs="Arial"/>
          <w:sz w:val="20"/>
          <w:szCs w:val="20"/>
        </w:rPr>
        <w:t xml:space="preserve"> numărului locului de consum.</w:t>
      </w:r>
    </w:p>
    <w:p w:rsidR="003540E3" w:rsidRPr="00B20829" w:rsidRDefault="00C120A6" w:rsidP="003540E3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În procesul de exploatare a centralei electrice, </w:t>
      </w:r>
      <w:r w:rsidR="00310CC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onsumatorul</w:t>
      </w:r>
      <w:r w:rsidR="00310CCD">
        <w:rPr>
          <w:rFonts w:ascii="Arial" w:eastAsia="Times New Roman" w:hAnsi="Arial" w:cs="Arial"/>
          <w:sz w:val="20"/>
          <w:szCs w:val="20"/>
        </w:rPr>
        <w:t xml:space="preserve"> final</w:t>
      </w:r>
      <w:r>
        <w:rPr>
          <w:rFonts w:ascii="Arial" w:eastAsia="Times New Roman" w:hAnsi="Arial" w:cs="Arial"/>
          <w:sz w:val="20"/>
          <w:szCs w:val="20"/>
        </w:rPr>
        <w:t xml:space="preserve"> trebuie să respecte toate legile și reglementările </w:t>
      </w:r>
      <w:r w:rsidR="00A66F47">
        <w:rPr>
          <w:rFonts w:ascii="Arial" w:eastAsia="Times New Roman" w:hAnsi="Arial" w:cs="Arial"/>
          <w:sz w:val="20"/>
          <w:szCs w:val="20"/>
        </w:rPr>
        <w:t xml:space="preserve">tehnice </w:t>
      </w:r>
      <w:r>
        <w:rPr>
          <w:rFonts w:ascii="Arial" w:eastAsia="Times New Roman" w:hAnsi="Arial" w:cs="Arial"/>
          <w:sz w:val="20"/>
          <w:szCs w:val="20"/>
        </w:rPr>
        <w:t xml:space="preserve">aplicabile.  </w:t>
      </w:r>
    </w:p>
    <w:p w:rsidR="00523900" w:rsidRPr="00B20829" w:rsidRDefault="00C120A6" w:rsidP="00523900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În cazul în care Consumatorul final, </w:t>
      </w:r>
      <w:proofErr w:type="spellStart"/>
      <w:r>
        <w:rPr>
          <w:rFonts w:ascii="Arial" w:eastAsia="Times New Roman" w:hAnsi="Arial" w:cs="Arial"/>
          <w:sz w:val="20"/>
          <w:szCs w:val="20"/>
        </w:rPr>
        <w:t>deţinător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al centralei electrice, dorește să </w:t>
      </w:r>
      <w:r w:rsidR="00531AC3">
        <w:rPr>
          <w:rFonts w:ascii="Arial" w:eastAsia="Times New Roman" w:hAnsi="Arial" w:cs="Arial"/>
          <w:sz w:val="20"/>
          <w:szCs w:val="20"/>
        </w:rPr>
        <w:t xml:space="preserve">înceteze aplicarea </w:t>
      </w:r>
      <w:r w:rsidR="00AE3D1C">
        <w:rPr>
          <w:rFonts w:ascii="Arial" w:eastAsia="Times New Roman" w:hAnsi="Arial" w:cs="Arial"/>
          <w:sz w:val="20"/>
          <w:szCs w:val="20"/>
        </w:rPr>
        <w:t xml:space="preserve">prevederilor </w:t>
      </w:r>
      <w:r w:rsidR="00531AC3">
        <w:rPr>
          <w:rFonts w:ascii="Arial" w:eastAsia="Times New Roman" w:hAnsi="Arial" w:cs="Arial"/>
          <w:sz w:val="20"/>
          <w:szCs w:val="20"/>
        </w:rPr>
        <w:t xml:space="preserve">prezentei Anexe </w:t>
      </w:r>
      <w:r w:rsidR="00FA5E0B" w:rsidRPr="00FA5E0B">
        <w:rPr>
          <w:rFonts w:ascii="Arial" w:eastAsia="Times New Roman" w:hAnsi="Arial" w:cs="Arial"/>
          <w:sz w:val="20"/>
          <w:szCs w:val="20"/>
        </w:rPr>
        <w:t>cu privire la contorizarea netă</w:t>
      </w:r>
      <w:r w:rsidR="002D5E08">
        <w:rPr>
          <w:rFonts w:ascii="Arial" w:eastAsia="Times New Roman" w:hAnsi="Arial" w:cs="Arial"/>
          <w:sz w:val="20"/>
          <w:szCs w:val="20"/>
        </w:rPr>
        <w:t>,</w:t>
      </w:r>
      <w:r w:rsidR="00FA5E0B" w:rsidRPr="00FA5E0B">
        <w:rPr>
          <w:rFonts w:ascii="Arial" w:eastAsia="Times New Roman" w:hAnsi="Arial" w:cs="Arial"/>
          <w:sz w:val="20"/>
          <w:szCs w:val="20"/>
        </w:rPr>
        <w:t xml:space="preserve"> </w:t>
      </w:r>
      <w:r w:rsidR="00AE3D1C">
        <w:rPr>
          <w:rFonts w:ascii="Arial" w:eastAsia="Times New Roman" w:hAnsi="Arial" w:cs="Arial"/>
          <w:sz w:val="20"/>
          <w:szCs w:val="20"/>
        </w:rPr>
        <w:t xml:space="preserve">prin rezilierea acesteia </w:t>
      </w:r>
      <w:r w:rsidR="00FA5E0B" w:rsidRPr="00FA5E0B">
        <w:rPr>
          <w:rFonts w:ascii="Arial" w:eastAsia="Times New Roman" w:hAnsi="Arial" w:cs="Arial"/>
          <w:sz w:val="20"/>
          <w:szCs w:val="20"/>
        </w:rPr>
        <w:t xml:space="preserve">sau se deconectează </w:t>
      </w:r>
      <w:r w:rsidR="00FA5E0B" w:rsidRPr="00FA5E0B">
        <w:rPr>
          <w:rFonts w:ascii="Arial" w:eastAsia="Times New Roman" w:hAnsi="Arial" w:cs="Arial"/>
          <w:sz w:val="20"/>
          <w:szCs w:val="20"/>
        </w:rPr>
        <w:lastRenderedPageBreak/>
        <w:t xml:space="preserve">de la </w:t>
      </w:r>
      <w:proofErr w:type="spellStart"/>
      <w:r w:rsidR="00FA5E0B" w:rsidRPr="00FA5E0B">
        <w:rPr>
          <w:rFonts w:ascii="Arial" w:eastAsia="Times New Roman" w:hAnsi="Arial" w:cs="Arial"/>
          <w:sz w:val="20"/>
          <w:szCs w:val="20"/>
        </w:rPr>
        <w:t>reţeaua</w:t>
      </w:r>
      <w:proofErr w:type="spellEnd"/>
      <w:r w:rsidR="00FA5E0B" w:rsidRPr="00FA5E0B">
        <w:rPr>
          <w:rFonts w:ascii="Arial" w:eastAsia="Times New Roman" w:hAnsi="Arial" w:cs="Arial"/>
          <w:sz w:val="20"/>
          <w:szCs w:val="20"/>
        </w:rPr>
        <w:t xml:space="preserve"> electrică, </w:t>
      </w:r>
      <w:r>
        <w:rPr>
          <w:rFonts w:ascii="Arial" w:eastAsia="Times New Roman" w:hAnsi="Arial" w:cs="Arial"/>
          <w:sz w:val="20"/>
          <w:szCs w:val="20"/>
        </w:rPr>
        <w:t xml:space="preserve">acesta va înainta un preaviz scris de 30 (treizeci) zile calendaristice </w:t>
      </w:r>
      <w:proofErr w:type="spellStart"/>
      <w:r>
        <w:rPr>
          <w:rFonts w:ascii="Arial" w:eastAsia="Times New Roman" w:hAnsi="Arial" w:cs="Arial"/>
          <w:sz w:val="20"/>
          <w:szCs w:val="20"/>
        </w:rPr>
        <w:t>pînă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survenirea cazului. Furnizorul </w:t>
      </w:r>
      <w:r w:rsidR="00E97881">
        <w:rPr>
          <w:rFonts w:ascii="Arial" w:eastAsia="Times New Roman" w:hAnsi="Arial" w:cs="Arial"/>
          <w:sz w:val="20"/>
          <w:szCs w:val="20"/>
        </w:rPr>
        <w:t xml:space="preserve">va </w:t>
      </w:r>
      <w:r>
        <w:rPr>
          <w:rFonts w:ascii="Arial" w:eastAsia="Times New Roman" w:hAnsi="Arial" w:cs="Arial"/>
          <w:sz w:val="20"/>
          <w:szCs w:val="20"/>
        </w:rPr>
        <w:t xml:space="preserve"> achit</w:t>
      </w:r>
      <w:r w:rsidR="00E9788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Consumatorului final contravaloarea energiei electrice neutilizate</w:t>
      </w:r>
      <w:r w:rsidRPr="00756425">
        <w:rPr>
          <w:rFonts w:ascii="Arial" w:eastAsia="Times New Roman" w:hAnsi="Arial" w:cs="Arial"/>
          <w:sz w:val="20"/>
          <w:szCs w:val="20"/>
        </w:rPr>
        <w:t xml:space="preserve">, </w:t>
      </w:r>
      <w:r w:rsidR="00FA5E0B" w:rsidRPr="00756425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dacă aceasta</w:t>
      </w:r>
      <w:r w:rsidRPr="00756425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FA5E0B" w:rsidRPr="00756425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există</w:t>
      </w:r>
      <w:r w:rsidRPr="0075642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,</w:t>
      </w:r>
      <w:r w:rsidRPr="00756425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756425">
        <w:rPr>
          <w:rFonts w:ascii="Arial" w:eastAsia="Times New Roman" w:hAnsi="Arial" w:cs="Arial"/>
          <w:sz w:val="20"/>
          <w:szCs w:val="20"/>
        </w:rPr>
        <w:t>preţul</w:t>
      </w:r>
      <w:proofErr w:type="spellEnd"/>
      <w:r w:rsidRPr="00756425">
        <w:rPr>
          <w:rFonts w:ascii="Arial" w:eastAsia="Times New Roman" w:hAnsi="Arial" w:cs="Arial"/>
          <w:sz w:val="20"/>
          <w:szCs w:val="20"/>
        </w:rPr>
        <w:t xml:space="preserve"> mediu de procurare a energiei electrice pe </w:t>
      </w:r>
      <w:proofErr w:type="spellStart"/>
      <w:r w:rsidRPr="00756425">
        <w:rPr>
          <w:rFonts w:ascii="Arial" w:eastAsia="Times New Roman" w:hAnsi="Arial" w:cs="Arial"/>
          <w:sz w:val="20"/>
          <w:szCs w:val="20"/>
        </w:rPr>
        <w:t>piaţă</w:t>
      </w:r>
      <w:proofErr w:type="spellEnd"/>
      <w:r w:rsidRPr="00756425">
        <w:rPr>
          <w:rFonts w:ascii="Arial" w:eastAsia="Times New Roman" w:hAnsi="Arial" w:cs="Arial"/>
          <w:sz w:val="20"/>
          <w:szCs w:val="20"/>
        </w:rPr>
        <w:t xml:space="preserve"> de către furnizorul serviciului</w:t>
      </w:r>
      <w:r>
        <w:rPr>
          <w:rFonts w:ascii="Arial" w:eastAsia="Times New Roman" w:hAnsi="Arial" w:cs="Arial"/>
          <w:sz w:val="20"/>
          <w:szCs w:val="20"/>
        </w:rPr>
        <w:t xml:space="preserve"> universal în anul de gestiune.</w:t>
      </w:r>
    </w:p>
    <w:p w:rsidR="00D868B1" w:rsidRPr="00B20829" w:rsidRDefault="00FA5E0B" w:rsidP="00D868B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În cazul în care Consumatorul final </w:t>
      </w:r>
      <w:r w:rsidR="00EE66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nu îndeplinește </w:t>
      </w:r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>condiţii</w:t>
      </w:r>
      <w:r w:rsidR="00EE66F6">
        <w:rPr>
          <w:rFonts w:ascii="Arial" w:eastAsia="Times New Roman" w:hAnsi="Arial" w:cs="Arial"/>
          <w:color w:val="000000" w:themeColor="text1"/>
          <w:sz w:val="20"/>
          <w:szCs w:val="20"/>
        </w:rPr>
        <w:t>le</w:t>
      </w:r>
      <w:proofErr w:type="spellEnd"/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E66F6">
        <w:rPr>
          <w:rFonts w:ascii="Arial" w:eastAsia="Times New Roman" w:hAnsi="Arial" w:cs="Arial"/>
          <w:color w:val="000000" w:themeColor="text1"/>
          <w:sz w:val="20"/>
          <w:szCs w:val="20"/>
        </w:rPr>
        <w:t>prevăzute  în</w:t>
      </w:r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pct.4, atunci Furnizorul este în drept să solicite  Operatorului </w:t>
      </w:r>
      <w:r w:rsidR="00EE66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 </w:t>
      </w:r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sistem deconectarea </w:t>
      </w:r>
      <w:r w:rsidR="00756425"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>instalațiilor</w:t>
      </w:r>
      <w:r w:rsidR="00EE66F6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ce </w:t>
      </w:r>
      <w:proofErr w:type="spellStart"/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>aparţine</w:t>
      </w:r>
      <w:proofErr w:type="spellEnd"/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Consumatorului final, în conformitate cu prevederile legale, </w:t>
      </w:r>
      <w:proofErr w:type="spellStart"/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>pînă</w:t>
      </w:r>
      <w:proofErr w:type="spellEnd"/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înlăturarea </w:t>
      </w:r>
      <w:r w:rsidR="00E97881">
        <w:rPr>
          <w:rFonts w:ascii="Arial" w:eastAsia="Times New Roman" w:hAnsi="Arial" w:cs="Arial"/>
          <w:color w:val="000000" w:themeColor="text1"/>
          <w:sz w:val="20"/>
          <w:szCs w:val="20"/>
        </w:rPr>
        <w:t>cauzelor</w:t>
      </w:r>
      <w:r w:rsidR="00E97881"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FA5E0B">
        <w:rPr>
          <w:rFonts w:ascii="Arial" w:eastAsia="Times New Roman" w:hAnsi="Arial" w:cs="Arial"/>
          <w:color w:val="000000" w:themeColor="text1"/>
          <w:sz w:val="20"/>
          <w:szCs w:val="20"/>
        </w:rPr>
        <w:t>ce a condus la deconectare.</w:t>
      </w:r>
    </w:p>
    <w:p w:rsidR="006378CF" w:rsidRPr="00CF3880" w:rsidRDefault="006378CF" w:rsidP="00D868B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Prezenta anexă </w:t>
      </w:r>
      <w:r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confirm</w:t>
      </w:r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ă</w:t>
      </w:r>
      <w:r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faptul</w:t>
      </w:r>
      <w:r w:rsidR="00CD6E51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aplicării principiului „primul venit, primul servit” și</w:t>
      </w:r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că capacitatea instalată cumulată a centralelor electrice ale consumatorilor finali nu </w:t>
      </w:r>
      <w:proofErr w:type="spellStart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depăşeşte</w:t>
      </w:r>
      <w:proofErr w:type="spellEnd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5% din valoarea sarcinii maxime înregistrate pe parcursul anului precedent de către operatorul sistemului de </w:t>
      </w:r>
      <w:proofErr w:type="spellStart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distribuţie</w:t>
      </w:r>
      <w:proofErr w:type="spellEnd"/>
      <w:r w:rsidR="00CD6E51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reţelele</w:t>
      </w:r>
      <w:proofErr w:type="spellEnd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căruia </w:t>
      </w:r>
      <w:proofErr w:type="spellStart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>sînt</w:t>
      </w:r>
      <w:proofErr w:type="spellEnd"/>
      <w:r w:rsidR="003B56DD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racordate centralele electrice respective, în conformitate cu</w:t>
      </w:r>
      <w:r w:rsidR="00CD6E51" w:rsidRPr="00CF38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art.39 al.(5) din Legea privind promovarea utilizării energiei din surse regenerabile.</w:t>
      </w:r>
    </w:p>
    <w:p w:rsidR="006F3EAB" w:rsidRDefault="00C120A6" w:rsidP="00D868B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Prezenta anexă reprezintă parte componentă a contractului de furnizare a energiei electrice. Aspectele prevăzute în conținutul acesteia sunt obligatorii și executorii în relațiile dintre părți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începînd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data semnării acesteia.</w:t>
      </w:r>
    </w:p>
    <w:p w:rsidR="00E46506" w:rsidRPr="00985EC9" w:rsidRDefault="00E46506" w:rsidP="00A54A4B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Dacă, ulterior încheierii prezentei Anexe de către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Părţi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apar modificări ale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circumstanţelor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condiţionate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intrarea în vigoare a unor acte normative noi, precum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modificări ale celor existente, care stabilesc reguli noi privind contorizarea netă a energiei electrice sau alte chestiuni legate de clauzele prezentei Anexe,  atunci:</w:t>
      </w:r>
    </w:p>
    <w:p w:rsidR="00E46506" w:rsidRPr="00985EC9" w:rsidRDefault="00E46506" w:rsidP="00985EC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Anexa va fi obligatoriu modificat/completat de către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Părţi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pentru a fi ajustat la noile reglementări normative. În cazul în care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Părţile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nu se vor conforma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obligaţiei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ajustare a prevederilor Anexei la noile reglementări, Anexa va înceta prin notificare scrisă expediată de către oricare din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Părţi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E46506" w:rsidRPr="00985EC9" w:rsidRDefault="00E46506" w:rsidP="00985EC9">
      <w:pPr>
        <w:pStyle w:val="ListParagraph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Anexa va înceta automat, în cazul în care executarea acestuia este imposibilă ca urmare a intrării în vigoare a noilor reglementări normative </w:t>
      </w:r>
      <w:proofErr w:type="spellStart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985EC9">
        <w:rPr>
          <w:rFonts w:ascii="Arial" w:eastAsia="Times New Roman" w:hAnsi="Arial" w:cs="Arial"/>
          <w:color w:val="000000" w:themeColor="text1"/>
          <w:sz w:val="20"/>
          <w:szCs w:val="20"/>
        </w:rPr>
        <w:t>/sau executarea Anexei este incompatibilă cu noile reglementări normative.</w:t>
      </w:r>
    </w:p>
    <w:p w:rsidR="00E46506" w:rsidRPr="00B20829" w:rsidRDefault="00E46506" w:rsidP="00E46506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FA5E0B" w:rsidRPr="00FA5E0B" w:rsidRDefault="00FA5E0B" w:rsidP="00FA5E0B">
      <w:pPr>
        <w:pStyle w:val="ListParagraph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A5E0B" w:rsidRPr="00FA5E0B" w:rsidRDefault="00FA5E0B" w:rsidP="00FA5E0B">
      <w:pPr>
        <w:spacing w:line="276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333E33" w:rsidRPr="00152351" w:rsidRDefault="00333E33" w:rsidP="00333E33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52351">
        <w:rPr>
          <w:rFonts w:ascii="Arial" w:eastAsia="Times New Roman" w:hAnsi="Arial" w:cs="Arial"/>
          <w:b/>
          <w:bCs/>
          <w:sz w:val="20"/>
          <w:szCs w:val="20"/>
        </w:rPr>
        <w:t xml:space="preserve">Consumatorul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final</w:t>
      </w:r>
      <w:r w:rsidRPr="00152351">
        <w:rPr>
          <w:rFonts w:ascii="Arial" w:eastAsia="Times New Roman" w:hAnsi="Arial" w:cs="Arial"/>
          <w:color w:val="FFFFFF"/>
          <w:sz w:val="20"/>
          <w:szCs w:val="20"/>
        </w:rPr>
        <w:t>____________________________________</w:t>
      </w:r>
      <w:r>
        <w:rPr>
          <w:rFonts w:ascii="Arial" w:eastAsia="Times New Roman" w:hAnsi="Arial" w:cs="Arial"/>
          <w:b/>
          <w:bCs/>
          <w:sz w:val="20"/>
          <w:szCs w:val="20"/>
        </w:rPr>
        <w:t>Furnizorul</w:t>
      </w:r>
      <w:proofErr w:type="spellEnd"/>
      <w:r w:rsidRPr="0015235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33E33" w:rsidRPr="00152351" w:rsidRDefault="00333E33" w:rsidP="00333E33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52351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152351">
        <w:rPr>
          <w:rFonts w:ascii="Arial" w:eastAsia="Times New Roman" w:hAnsi="Arial" w:cs="Arial"/>
          <w:color w:val="FFFFFF"/>
          <w:sz w:val="20"/>
          <w:szCs w:val="20"/>
        </w:rPr>
        <w:t xml:space="preserve">_______________________________ </w:t>
      </w:r>
      <w:r w:rsidRPr="00152351">
        <w:rPr>
          <w:rFonts w:ascii="Arial" w:eastAsia="Times New Roman" w:hAnsi="Arial" w:cs="Arial"/>
          <w:sz w:val="20"/>
          <w:szCs w:val="20"/>
        </w:rPr>
        <w:t xml:space="preserve">__________________ </w:t>
      </w:r>
    </w:p>
    <w:p w:rsidR="00333E33" w:rsidRPr="00152351" w:rsidRDefault="00333E33" w:rsidP="00333E33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52351">
        <w:rPr>
          <w:rFonts w:ascii="Arial" w:eastAsia="Times New Roman" w:hAnsi="Arial" w:cs="Arial"/>
          <w:sz w:val="20"/>
          <w:szCs w:val="20"/>
          <w:vertAlign w:val="subscript"/>
        </w:rPr>
        <w:t xml:space="preserve">(semnătura </w:t>
      </w:r>
      <w:proofErr w:type="spellStart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>şi</w:t>
      </w:r>
      <w:proofErr w:type="spellEnd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proofErr w:type="spellStart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>ştampila</w:t>
      </w:r>
      <w:proofErr w:type="spellEnd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>)</w:t>
      </w:r>
      <w:r w:rsidRPr="00152351">
        <w:rPr>
          <w:rFonts w:ascii="Arial" w:eastAsia="Times New Roman" w:hAnsi="Arial" w:cs="Arial"/>
          <w:color w:val="FFFFFF"/>
          <w:sz w:val="20"/>
          <w:szCs w:val="20"/>
          <w:vertAlign w:val="subscript"/>
        </w:rPr>
        <w:t>___________________________________________________</w:t>
      </w:r>
      <w:r w:rsidRPr="00152351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r>
        <w:rPr>
          <w:rFonts w:ascii="Arial" w:eastAsia="Times New Roman" w:hAnsi="Arial" w:cs="Arial"/>
          <w:sz w:val="20"/>
          <w:szCs w:val="20"/>
          <w:vertAlign w:val="subscript"/>
        </w:rPr>
        <w:t xml:space="preserve">                  </w:t>
      </w:r>
      <w:r w:rsidRPr="00152351">
        <w:rPr>
          <w:rFonts w:ascii="Arial" w:eastAsia="Times New Roman" w:hAnsi="Arial" w:cs="Arial"/>
          <w:sz w:val="20"/>
          <w:szCs w:val="20"/>
          <w:vertAlign w:val="subscript"/>
        </w:rPr>
        <w:t xml:space="preserve">(semnătura </w:t>
      </w:r>
      <w:proofErr w:type="spellStart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>şi</w:t>
      </w:r>
      <w:proofErr w:type="spellEnd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proofErr w:type="spellStart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>ştampila</w:t>
      </w:r>
      <w:proofErr w:type="spellEnd"/>
      <w:r w:rsidRPr="00152351">
        <w:rPr>
          <w:rFonts w:ascii="Arial" w:eastAsia="Times New Roman" w:hAnsi="Arial" w:cs="Arial"/>
          <w:sz w:val="20"/>
          <w:szCs w:val="20"/>
          <w:vertAlign w:val="subscript"/>
        </w:rPr>
        <w:t>)</w:t>
      </w:r>
      <w:r w:rsidRPr="0015235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069F7" w:rsidRDefault="003069F7" w:rsidP="00B171E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7881" w:rsidRDefault="00E97881" w:rsidP="00B171E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7881" w:rsidRDefault="00E97881" w:rsidP="00B171E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7881" w:rsidRPr="00B171ED" w:rsidRDefault="00E97881" w:rsidP="00531AC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sectPr w:rsidR="00E97881" w:rsidRPr="00B171ED" w:rsidSect="007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634"/>
    <w:multiLevelType w:val="hybridMultilevel"/>
    <w:tmpl w:val="57A2671C"/>
    <w:lvl w:ilvl="0" w:tplc="F7B68E2E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513"/>
    <w:multiLevelType w:val="hybridMultilevel"/>
    <w:tmpl w:val="A884799C"/>
    <w:lvl w:ilvl="0" w:tplc="F184E1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757"/>
    <w:multiLevelType w:val="hybridMultilevel"/>
    <w:tmpl w:val="79341B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5A0C"/>
    <w:multiLevelType w:val="hybridMultilevel"/>
    <w:tmpl w:val="7C30CE64"/>
    <w:lvl w:ilvl="0" w:tplc="1A14F5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FF4434"/>
    <w:multiLevelType w:val="hybridMultilevel"/>
    <w:tmpl w:val="6DC0D824"/>
    <w:lvl w:ilvl="0" w:tplc="BE4054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4"/>
    <w:rsid w:val="00035279"/>
    <w:rsid w:val="000526F1"/>
    <w:rsid w:val="00061693"/>
    <w:rsid w:val="00064462"/>
    <w:rsid w:val="000B5283"/>
    <w:rsid w:val="000B7F4F"/>
    <w:rsid w:val="0013703B"/>
    <w:rsid w:val="00194F71"/>
    <w:rsid w:val="001B68EC"/>
    <w:rsid w:val="001E0B2E"/>
    <w:rsid w:val="001F0B5C"/>
    <w:rsid w:val="00266568"/>
    <w:rsid w:val="002933B1"/>
    <w:rsid w:val="002C47FC"/>
    <w:rsid w:val="002D5E08"/>
    <w:rsid w:val="002D7588"/>
    <w:rsid w:val="003069F7"/>
    <w:rsid w:val="00310CCD"/>
    <w:rsid w:val="00321CE2"/>
    <w:rsid w:val="00333E33"/>
    <w:rsid w:val="003540E3"/>
    <w:rsid w:val="003B55BC"/>
    <w:rsid w:val="003B56DD"/>
    <w:rsid w:val="003F7434"/>
    <w:rsid w:val="004C21AF"/>
    <w:rsid w:val="004F709D"/>
    <w:rsid w:val="00523900"/>
    <w:rsid w:val="00531AC3"/>
    <w:rsid w:val="005A2F77"/>
    <w:rsid w:val="006378CF"/>
    <w:rsid w:val="00692C44"/>
    <w:rsid w:val="006E614A"/>
    <w:rsid w:val="006F3EAB"/>
    <w:rsid w:val="00756425"/>
    <w:rsid w:val="007E39C6"/>
    <w:rsid w:val="00814C1B"/>
    <w:rsid w:val="00874AE8"/>
    <w:rsid w:val="008D4AB7"/>
    <w:rsid w:val="008E4B90"/>
    <w:rsid w:val="009560A4"/>
    <w:rsid w:val="00985EC9"/>
    <w:rsid w:val="009B4CFD"/>
    <w:rsid w:val="009C1531"/>
    <w:rsid w:val="009E6659"/>
    <w:rsid w:val="00A1315A"/>
    <w:rsid w:val="00A45AD8"/>
    <w:rsid w:val="00A54A4B"/>
    <w:rsid w:val="00A66F47"/>
    <w:rsid w:val="00A95629"/>
    <w:rsid w:val="00AC723F"/>
    <w:rsid w:val="00AE3D1C"/>
    <w:rsid w:val="00B171ED"/>
    <w:rsid w:val="00B20829"/>
    <w:rsid w:val="00B31928"/>
    <w:rsid w:val="00BA749E"/>
    <w:rsid w:val="00C120A6"/>
    <w:rsid w:val="00C45D3A"/>
    <w:rsid w:val="00C55157"/>
    <w:rsid w:val="00C65655"/>
    <w:rsid w:val="00CD6E51"/>
    <w:rsid w:val="00CF3880"/>
    <w:rsid w:val="00D25E00"/>
    <w:rsid w:val="00D84A1C"/>
    <w:rsid w:val="00D868B1"/>
    <w:rsid w:val="00E21E77"/>
    <w:rsid w:val="00E45511"/>
    <w:rsid w:val="00E46506"/>
    <w:rsid w:val="00E613A9"/>
    <w:rsid w:val="00E82C57"/>
    <w:rsid w:val="00E97881"/>
    <w:rsid w:val="00EE66F6"/>
    <w:rsid w:val="00F3279E"/>
    <w:rsid w:val="00F47BBF"/>
    <w:rsid w:val="00F85A4F"/>
    <w:rsid w:val="00FA5CCB"/>
    <w:rsid w:val="00FA5E0B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EDD9-73C5-4F4E-A1CD-528C29C4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9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9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09D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709D"/>
  </w:style>
  <w:style w:type="character" w:styleId="Emphasis">
    <w:name w:val="Emphasis"/>
    <w:basedOn w:val="DefaultParagraphFont"/>
    <w:uiPriority w:val="20"/>
    <w:qFormat/>
    <w:rsid w:val="00C45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C068-0B78-4229-8E0C-5C900AE9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Rudei, Ion</dc:creator>
  <cp:keywords/>
  <dc:description/>
  <cp:lastModifiedBy>Malinovskaia, Ecaterina</cp:lastModifiedBy>
  <cp:revision>5</cp:revision>
  <dcterms:created xsi:type="dcterms:W3CDTF">2018-10-16T14:54:00Z</dcterms:created>
  <dcterms:modified xsi:type="dcterms:W3CDTF">2018-10-24T08:44:00Z</dcterms:modified>
</cp:coreProperties>
</file>